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252" w:left="1172" w:right="1037" w:bottom="97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4111625</wp:posOffset>
                </wp:positionH>
                <wp:positionV relativeFrom="paragraph">
                  <wp:posOffset>12700</wp:posOffset>
                </wp:positionV>
                <wp:extent cx="1088390" cy="20129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УТВЕРЖДАЮ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3.75pt;margin-top:1.pt;width:85.700000000000003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УТВЕРЖДАЮ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1618615</wp:posOffset>
                </wp:positionV>
                <wp:extent cx="1092835" cy="2012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283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ПОЛОЖЕНИЕ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55.84999999999999pt;margin-top:127.45pt;width:86.049999999999997pt;height:15.8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ПОЛОЖЕНИЕ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4134485</wp:posOffset>
            </wp:positionH>
            <wp:positionV relativeFrom="paragraph">
              <wp:posOffset>347345</wp:posOffset>
            </wp:positionV>
            <wp:extent cx="2614930" cy="144462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614930" cy="1444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b/>
          <w:bCs/>
          <w:color w:val="1A1B31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бюджетного учреждения</w:t>
        <w:br/>
        <w:t>Ханты-Маы^^^^^жтономного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  <w:rPr>
          <w:sz w:val="8"/>
          <w:szCs w:val="8"/>
        </w:rPr>
      </w:pPr>
      <w:r>
        <w:rPr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С» </w:t>
      </w:r>
      <w:r>
        <w:rPr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** </w:t>
      </w:r>
      <w:r>
        <w:rPr>
          <w:spacing w:val="0"/>
          <w:w w:val="100"/>
          <w:position w:val="0"/>
          <w:sz w:val="11"/>
          <w:szCs w:val="11"/>
          <w:shd w:val="clear" w:color="auto" w:fill="auto"/>
          <w:vertAlign w:val="superscript"/>
          <w:lang w:val="ru-RU" w:eastAsia="ru-RU" w:bidi="ru-RU"/>
        </w:rPr>
        <w:t>и</w:t>
      </w:r>
      <w:r>
        <w:rPr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 л. </w:t>
      </w:r>
      <w:r>
        <w:rPr>
          <w:i/>
          <w:iCs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 xml:space="preserve">* </w:t>
      </w:r>
      <w:r>
        <w:rPr>
          <w:i/>
          <w:iCs/>
          <w:color w:val="272E5D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 xml:space="preserve">л. </w:t>
      </w:r>
      <w:r>
        <w:rPr>
          <w:i/>
          <w:i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специальном доме для одиноких престарелых (28 квартир, 34 койкоместа)</w:t>
        <w:br/>
        <w:t>бюджетного учреящения Ханты-Мансийского автономного округа - Югры</w:t>
        <w:br/>
        <w:t>«Белоярский комплексный центр социального обслуживания населения»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6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4" w:val="left"/>
        </w:tabs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Специальный дом для одиноких престарелых (28 квартир, 34 койкоместа) (далее по тексту - специальный дом) является структурным подразделением бюджетного учреждения Ханты-Мансийского автономного округа - Югры «Белоярский комплексный центр социального обслуживания населения» (далее по тексту - учреждение) предназначен для проживания одиноких граждан пожилого возраста: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мужчин при достижении возраста 60 лет, женщин - возраста 55 лет, одиноких инвалидов - мужчин при достижении возраста 55 лет, женщин - возраста 50 лет), а также супружеских пар из их числа, имеющих место жительства в автономном округе не менее 10 лет и не обеспеченных жилыми помещениями в Российской Федерации, при условии сохранения гражданами полной или частичной способности к самообслуживанию в быту; отсутствия совершеннолетних трудоспособных детей, обязанных обеспечить помощь и уход (далее - родственники), установление в судебном порядке алиментных обязательств у родственников на содержание граждан;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одиноких граждан, проживающих в стационарных организациях социального обслуживания, утративших потребность в постоянном постороннем уходе на основании медицинского заключения, при условии отнесения к категориям граждан, установленным настоящим пунктом, не обеспеченных жилыми помещениями, пользуется правом получения социальной квартиры, жилого помещения в специальном доме без предъявления требования к продолжительности проживания в автономном округе;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граждан, отнесенных к категориям, установленным настоящим пунктом, состоящих в медицинской организации по месту жительства на диспансерном учете по заболеванию, требующему проведения программного гемодиализа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автономном округе, находящихся вне постоянного места жительства гражданина, пользуются правом получения социальной квартиры, жилого помещения в специальном доме, расположенном в муниципальном образовании автономного округа, на территории которого может быть оказана указанная медицинская помощь, при условии наличия в соответствующем муниципальном образовании.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97" w:val="left"/>
        </w:tabs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Специальный дом в своей деятельности руководствуется: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Конституцией Российской Федерации,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740" w:right="0" w:firstLine="1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Федеральными законами Российской Федерации, постановлениями Правительства Российской Федерации, законами Ханты-Мансийского автономного округа - Югры,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00" w:right="0" w:firstLine="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постановлениями Правительства Ханты-Мансийского автономного округа - Югры,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Указами Президента Российской Федерации,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Уставом учреждения,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700" w:right="0" w:firstLine="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настоящим положением об отделении специальный дом для одиноких престарелых,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нормативными правовыми актами и правовыми актами Депсоцразвития Югры; приказами учреждения, регламентирующими деятельность учреждения, отделения специальный дом для одиноких престарелых.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8" w:val="left"/>
        </w:tabs>
        <w:bidi w:val="0"/>
        <w:spacing w:before="0" w:after="0" w:line="252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осуществляет свою деятельность под руководством заведующего отделением, назначаемого и освобождаемого от должности приказом директора учреждения. Координирует и контролирует деятельность отделения заместитель директора.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8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Режим работы отделения, график работы сотрудников определяются Правилами внутреннего трудового распорядка учреждения и утверждаются в установленном порядке.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6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8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Основными задачами отделения являются: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1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благоприятных условий проживания и самообслуживания для получателей социальных услуг, предоставление социально-бытовой помощи;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содействие получателям социальных услуг в получении своевременной медицинской помощи, социально-психологических, социально-педагогических услуг, включая организацию их досуга, поддержание активного образа жизни, участие в посильной трудовой деятельности;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5" w:val="left"/>
        </w:tabs>
        <w:bidi w:val="0"/>
        <w:spacing w:before="0" w:after="24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требований системы менеджмента качества, изложенных в Руководстве по качеству, Политике и целях в области качества, стандартов организации.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5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Функции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1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в соответствии с возложенными задачами: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6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соответствие жилых помещений санитарно-гигиеническим нормам, требованиям безопасности, противопожарным требованиям;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5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прием и заселение получателей социальных услуг в специальный дом на основании уведомления Депсоцразвития Югры о предоставлении жилого помещения в специальном доме, ознакомление их с режимом работы отделения, правилами внутреннего распорядка, требованиями соблюдения противопожарной безопасности, заключает договор найма жилого помещения в домах системы социального обслуживания граждан специализированного жилищного фонда автономного округа по форме, утвержденной приказом Депсоцразвития Югры от 28 июля 2022 года № 932-р «Об организации работы, утверждении форм документов, признании утратившими силу некоторых приказов Депсоцразвития Югры», информирует о правах, обязанностях и условиях предоставления социальных услуг в соответствии с индивидуальной программой предоставления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5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создает условия, обеспечивающие благоприятное проживание и самообслуживание, обеспечивает чистоту и порядок в коридорах, лестничных клетках и других местах общего пользования;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5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оказывает содействие в устранении возникших неисправностей санитарно-технического и иного оборудования, находящегося в жилых помещениях, замене приборов учета воды, электроэнергии, в связи с окончанием срока поверки;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5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обеспечивает безопасное проживание и своевременное содействие в оказании экстренной бытовой помощи получателям социальных услуг, организует при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необходимости вызов экстренных служб;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8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устанавливает индивидуальную потребность получателей социальных услуг для определения перечня, максимального объема рекомендуемого социального обслуживания с составлением соответствующего акта;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8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оказывает содействие в предоставлении гражданам, проживающим в отделении, социальных услуг другими структурными подразделениями учреждения в соответствии с индивидуальными программами предоставления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8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оказывает содействие в организации досуга получателей социальных услуг специального дома, их вовлечения в посильную трудовую деятельность, активного образа жизни, приобщение к здоровому образу жизни, посредством привлечения к участию в различных культурно-массовых мероприятиях, физкультурно-оздоровительных;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8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контроль за соблюдением получателями социальных услуг, проживающими в специальном доме санитарно-гигиенических норм и правил противопожарной безопасности;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9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организует работу по информированию получателей социальных услуг о мерах профилактики гриппа и острых респираторных вирусных инфекций, важности и преимуществах вакцинопрофилактики, с выполнением комплекса профилактических мер;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9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контроль за соблюдением получателями социальных услуг противоэпидемических мер в период повышенной готовности;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86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организует работу по информированию получателей социальных услуг о предоставляемых мерах социальной поддержки, профилактике правонарушений и мошенничества;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9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контроль за своевременным внесением платы за наем жилого помещения и коммунальные услуги, гражданами, проживающими в специальном доме;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9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представляет отчеты и информацию о деятельности отделения;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86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ведет учет получателей социальных услуг в информационной системе базы данных ППО АСОИ;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86" w:val="left"/>
        </w:tabs>
        <w:bidi w:val="0"/>
        <w:spacing w:before="0" w:after="3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эффективное функционирование отделения в соответствии с Политикой учреждения в области качества, внедрение и постоянное совершенствование системы менеджмента качества, направленное на поддержание уровня качества предоставления услуг.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Взаимоотношения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7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Рассмотрение документов для признания (отказа в признании) граждан нуждающимися в социальных квартирах, жилых помещениях в специальном доме по месту их жительства осуществляет комиссия по признанию граждан нуждающимися в социальном обслуживании, жилых помещениях в домах системы социального обслуживания граждан специализированного жилищного фонда при казенном учреждении Ханты-Мансийского автономного округа - Югры «Агентство социального благополучия населения» (далее - Комиссия, Агентство), результат оформляется протоколом Комиссии.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7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единой очередности граждан, нуждающихся в предоставлении жилых помещений в домах системы социального обслуживания граждан специализированного жилищного фонда автономного округа, осуществляет Депсоцразвития Югры.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Учет граждан, нуждающихся в предоставлении жилых помещений в специальном доме, осуществляет Агентство.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Учреждение проводит информационно-разъяснительную работу о порядке и условиях предоставления социальных услуг, в том числе через социальные сети, средства массовой информации, интернет ресурсы, выявление граждан, нуждающихся в предоставлении социальных услуг.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5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Жилые помещения в специальном доме предоставляются гражданам, состоящим на учете в качестве нуждающихся, в порядке очередности, сформированной Депсоцразвития Югры и Агентством, исходя из даты и времени подачи гражданами заявлений, с учетом права на первоочередное получение.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5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Депсоцразвития Югры уведомляет состоящих на учете граждан о предоставлении им жилых помещений в специальном доме. На основании уведомления Депсоцразвития Югры в день заселения гражданина, учреждение заключает с ним договор найма жилого помещения в доме системы социального обслуживания граждан специализированного жилищного фонда автономного округа.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5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Гражданину жилое помещение предоставляется по нормам, установленным законодательством Российской Федерации и автономного округа.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5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Жилая площадь в специальном доме предоставляется одиноким гражданам пожилого возраста с последующей регистрацией по месту жительства.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5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Медицинскими противопоказаниями для самостоятельного проживания граждан в специальном доме являются заболевания, представляющие опасность для окружающих (включая психические, венерические заболевания, туберкулез), либо требующие лечения в специализированных организациях здравоохранения, а также хронический алкоголизм, наркомания, токсикомания.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5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Получателям социальных услуг, проживающим в специальном доме, выплачивается пенсия и другие выплаты в полном размере в соответствии с законодательством.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1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Жилые помещения в специальном доме, освобождаемые гражданами пожилого возраста подлежат заселению в первую очередь нуждающимися в улучшении жилищных условий другими гражданами пожилого возраста.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Обмен жилых помещений в специальном доме, их приватизация, разделение лицевых счетов, вселение временных жильцов, сдача в поднаем, а также регистрация по месту жительства в специальном доме родственников и других лиц не допускается.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случае освобождения жилого помещения одним из супругов, проживающим в специальном доме, с согласия гражданина осуществляется замена занимаемой жилой площади на меньшую.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1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случае выезда граждан, проживающих в специальном доме, на другое место жительства договор найма специализированного жилого помещения расторгается в установленном законом порядке.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1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 числа граждан, проживающих в специальном доме, может создаваться общественный совет дома, основными направлениями деятельности которого, является работа по улучшению условий проживания в нем, организация досуга и труда, защита прав и законных интересов проживающих.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7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Получатели социальных услуг, проживающие в специальном доме и утратившие способность к самообслуживанию, неспособные вследствие этого самостоятельно удовлетворять свои жизненно важные потребности и нуждающиеся в постоянном постороннем бытовом и медицинском уходе, переводятся в отделение- интернат учреждения или в другие стационарные учреждения социального обслуживания.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4.17. При выполнении своих функций отделение осуществляет взаимодействие с другими структурными подразделениями учреждения, с другими учреждениями социального обслуживания, организациями, предприятиями торговли, коммунально</w:t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бытового обслуживания, связи, культуры и досуга.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8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Права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5" w:val="left"/>
        </w:tabs>
        <w:bidi w:val="0"/>
        <w:spacing w:before="0" w:after="0" w:line="22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получении социальных услуг граждане пожилого возраста и инвалиды имеют право на: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28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уважительное и гуманное отношение со стороны сотрудников учреждения;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выбор форм социального обслуживания, поставщика социальных услуг в порядке, установленном законами Российской Федерации и законами Ханты- Мансийского автономного округа - Югры;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согласие на социальное обслуживание;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отказ от социального обслуживания;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5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конфиденциальность информации личного характера, ставшей известной сотруднику учреждения при оказании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защиту своих прав и законных интересов, в том числе в судебном порядке;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5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Получатели социальных услуг, проживающие в специальном доме, имеют право на: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61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им условий проживания, отвечающих санитарно- гигиеническим требованиям;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5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добровольное участие в лечебно-трудовом процессе с учетом состояния здоровья, интересов, желаний в соответствии с медицинским заключением и трудовыми рекомендациями;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61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свободное посещение их адвокатом, нотариусом, законными представителями общественных объединений и священнослужителем, а также родственниками и другими лицами;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61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первоочередное право на помещение в стационарные учреждения социального обслуживания.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1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Медицинское обслуживание получателей социальных услуг, проживающих в специальном доме, осуществляется лечебно-профилактическим учреждением города.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9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Предоставление социальных услуг гражданам, проживающим в специальном доме, осуществляется структурными подразделениями учреждения без оплаты, на условиях частичной или полной оплаты, согласно постановлению Правительства Ханты-Мансийского автономного округа - Югры от 6 сентября 2014 года № 326-п «О порядке предоставления социальных услуг поставщиками социальных услуг в Ханты-Мансийском автономном округе - Югре».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9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Питание получателей социальных услуг, проживающих в специальном доме, осуществляется за счет собственных средств.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9" w:val="left"/>
        </w:tabs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Организацию похорон граждан, не имеющих близких родственников, проживающих в специальном доме, осуществляет учреждение в установленном законодательством порядке.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9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Имущество и деньги умерших, проживающих в специальном доме, не оставивших завещание и не имеющих наследников, переходят в собственность государства в соответствии с действующим законодательством.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специальный дом для одиноких престарелых для осуществления своих функций имеет право: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1" w:val="left"/>
        </w:tabs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знакомиться с документами для выполнения возложенных на специальный дом задач;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7" w:val="left"/>
        </w:tabs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запрашивать и получать в установленном порядке от юридических лиц независимо от форм собственности материалы, информацию, необходимую для решения вопросов;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741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вести переписку с организациями по различным вопросам, входящим в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компетенцию;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75" w:val="left"/>
        </w:tabs>
        <w:bidi w:val="0"/>
        <w:spacing w:before="0" w:after="0" w:line="264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принимать решения в пределах своей компетенции и проверять их исполнение;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вносить предложения по вопросам, относящимся к компетенции отделения, в том числе по совершенствованию работы отделения на рассмотрение директора учреждения;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8" w:val="left"/>
        </w:tabs>
        <w:bidi w:val="0"/>
        <w:spacing w:before="0" w:after="24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иные права в соответствии с Трудовым кодексом Российской Федерации.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5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8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Получатели социальных услуг, проживающие в специальном доме, обязаны вносить плату за жилое помещение и коммунальные услуги в порядке, установленном статьей 156 Жилищного кодекса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8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Размер платы определяется исходя из занимаемой площади жилого помещения в порядке, установленном постановлением Правительства Ханты- Мансийского автономного округа - Югры от 10 сентября 2007 года № 224-п «О порядке определения размера оплаты за жилое помещение для граждан, проживающих в жилых помещениях домов системы социального обслуживания, находящихся в собственности Ханты-Мансийского автономного округа - Югры».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5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Получатели социальных услуг, проживающие в специальном доме, обязаны соблюдать правила пользования специализированным жилым помещением в соответствии с договором найма.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9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Сотрудники отделения несут ответственность за исполнение возложенных на специальный дом задач и функций, обеспечение исполнительской и трудовой дисциплины, соблюдение правил внутреннего трудового распорядка.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6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Сотрудники отделения несут ответственность за качество и своевременность исполнения своих должностных обязанностей.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0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Сотрудники отделения несут дисциплинарную ответственность за неразглашение конфиденциальной информации полученной о получателе социальных услуг.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0" w:val="left"/>
        </w:tabs>
        <w:bidi w:val="0"/>
        <w:spacing w:before="0" w:after="24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несет ответственность за достоверность информации, предоставляемой в вышестоящие органы, средства массовой информации.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5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Организационная структура управления специальным домом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0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Структуру и штатную численность отделения утверждает директор учреждения исходя из условий и особенностей деятельности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0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Специальный дом возглавляет заведующий отделением. Заведующий отделением руководит деятельностью специального дома и обеспечивает выполнение стоящих перед специальным домом задач, определяет должностные обязанности сотрудников специального дома, вносит предложения по подбору и работе кадров.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0" w:val="left"/>
        </w:tabs>
        <w:bidi w:val="0"/>
        <w:spacing w:before="0" w:after="280" w:line="223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специального дома строится на основе перспективных годовых планов работы отделения.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1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Реорганизация и ликвидация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0" w:val="left"/>
        </w:tabs>
        <w:bidi w:val="0"/>
        <w:spacing w:before="0" w:after="240" w:line="240" w:lineRule="auto"/>
        <w:ind w:left="0" w:right="0" w:firstLine="8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52" w:left="1172" w:right="1037" w:bottom="97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Принятие решения о реорганизации и ликвидации отделения осуществляется Департаментом социального развития Ханты-Мансийского автономного округа - Югры в порядке, установленном действующим законодательством.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260" w:line="240" w:lineRule="auto"/>
        <w:ind w:left="0" w:right="0" w:firstLine="0"/>
        <w:jc w:val="center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2621915</wp:posOffset>
            </wp:positionH>
            <wp:positionV relativeFrom="margin">
              <wp:posOffset>1293495</wp:posOffset>
            </wp:positionV>
            <wp:extent cx="1073150" cy="71310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73150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Заключительные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44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может изменяться и дополняться в связи с совершенствованием форм и методов работы специального дома.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44" w:val="left"/>
        </w:tabs>
        <w:bidi w:val="0"/>
        <w:spacing w:before="0" w:after="26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Все изменения и дополнения к настоящему Положению утверждаются директором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94" w:val="left"/>
        </w:tabs>
        <w:bidi w:val="0"/>
        <w:spacing w:before="0" w:after="26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Согласовано:</w:t>
        <w:tab/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х""} 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5558155</wp:posOffset>
                </wp:positionH>
                <wp:positionV relativeFrom="margin">
                  <wp:posOffset>1584325</wp:posOffset>
                </wp:positionV>
                <wp:extent cx="843280" cy="20320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328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О.В. Ильчук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7.64999999999998pt;margin-top:124.75pt;width:66.400000000000006pt;height:16.pt;z-index:-12582937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О.В. Ильчук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drawing>
          <wp:anchor distT="139700" distB="39370" distL="114300" distR="4901565" simplePos="0" relativeHeight="125829385" behindDoc="0" locked="0" layoutInCell="1" allowOverlap="1">
            <wp:simplePos x="0" y="0"/>
            <wp:positionH relativeFrom="page">
              <wp:posOffset>961390</wp:posOffset>
            </wp:positionH>
            <wp:positionV relativeFrom="margin">
              <wp:posOffset>2679065</wp:posOffset>
            </wp:positionV>
            <wp:extent cx="1146175" cy="445135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4617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96850" distB="175895" distL="4697730" distR="114300" simplePos="0" relativeHeight="125829386" behindDoc="0" locked="0" layoutInCell="1" allowOverlap="1">
            <wp:simplePos x="0" y="0"/>
            <wp:positionH relativeFrom="page">
              <wp:posOffset>5544820</wp:posOffset>
            </wp:positionH>
            <wp:positionV relativeFrom="margin">
              <wp:posOffset>2736215</wp:posOffset>
            </wp:positionV>
            <wp:extent cx="1353185" cy="25019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353185" cy="2501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5908040</wp:posOffset>
                </wp:positionH>
                <wp:positionV relativeFrom="margin">
                  <wp:posOffset>2962275</wp:posOffset>
                </wp:positionV>
                <wp:extent cx="356870" cy="16891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5.19999999999999pt;margin-top:233.25pt;width:28.100000000000001pt;height:13.3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45770" distB="635" distL="2620010" distR="2208530" simplePos="0" relativeHeight="125829387" behindDoc="0" locked="0" layoutInCell="1" allowOverlap="1">
                <wp:simplePos x="0" y="0"/>
                <wp:positionH relativeFrom="page">
                  <wp:posOffset>3467100</wp:posOffset>
                </wp:positionH>
                <wp:positionV relativeFrom="margin">
                  <wp:posOffset>2985135</wp:posOffset>
                </wp:positionV>
                <wp:extent cx="1334770" cy="17589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477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73.pt;margin-top:235.05000000000001pt;width:105.09999999999999pt;height:13.85pt;z-index:-125829366;mso-wrap-distance-left:206.30000000000001pt;mso-wrap-distance-top:35.100000000000001pt;mso-wrap-distance-right:173.90000000000001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(расшифровка подписи)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с положением ознакомлен:</w:t>
      </w:r>
      <w:r>
        <w:br w:type="page"/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 ОЗНАКОМЛЕНИЯ И РАССЫЛКИ</w:t>
      </w:r>
      <w:bookmarkEnd w:id="0"/>
      <w:bookmarkEnd w:id="1"/>
    </w:p>
    <w:tbl>
      <w:tblPr>
        <w:tblOverlap w:val="never"/>
        <w:jc w:val="center"/>
        <w:tblLayout w:type="fixed"/>
      </w:tblPr>
      <w:tblGrid>
        <w:gridCol w:w="1296"/>
        <w:gridCol w:w="3679"/>
        <w:gridCol w:w="1562"/>
        <w:gridCol w:w="1854"/>
        <w:gridCol w:w="1300"/>
      </w:tblGrid>
      <w:tr>
        <w:trPr>
          <w:trHeight w:val="1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Дата ознако мления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Наименование должности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Подпись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Расшифровк а подписи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Номер измене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НИЯ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15"/>
      <w:footerReference w:type="even" r:id="rId16"/>
      <w:footnotePr>
        <w:pos w:val="pageBottom"/>
        <w:numFmt w:val="decimal"/>
        <w:numRestart w:val="continuous"/>
      </w:footnotePr>
      <w:pgSz w:w="11900" w:h="16840"/>
      <w:pgMar w:top="1252" w:left="1172" w:right="1037" w:bottom="97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10329545</wp:posOffset>
              </wp:positionV>
              <wp:extent cx="64135" cy="1073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2.pt;margin-top:813.35000000000002pt;width:5.0499999999999998pt;height:8.449999999999999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6756400</wp:posOffset>
              </wp:positionH>
              <wp:positionV relativeFrom="page">
                <wp:posOffset>10274935</wp:posOffset>
              </wp:positionV>
              <wp:extent cx="64135" cy="8255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32.pt;margin-top:809.04999999999995pt;width:5.0499999999999998pt;height:6.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10329545</wp:posOffset>
              </wp:positionV>
              <wp:extent cx="64135" cy="10731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522.pt;margin-top:813.35000000000002pt;width:5.0499999999999998pt;height:8.4499999999999993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0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одпись к картинк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Основной текст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1A1B31"/>
      <w:sz w:val="11"/>
      <w:szCs w:val="11"/>
      <w:u w:val="none"/>
    </w:rPr>
  </w:style>
  <w:style w:type="character" w:customStyle="1" w:styleId="CharStyle17">
    <w:name w:val="Колонтитул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Заголовок №1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4">
    <w:name w:val="Другое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FFFFFF"/>
      <w:spacing w:line="180" w:lineRule="auto"/>
      <w:ind w:left="64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A1B31"/>
      <w:sz w:val="11"/>
      <w:szCs w:val="11"/>
      <w:u w:val="none"/>
    </w:rPr>
  </w:style>
  <w:style w:type="paragraph" w:customStyle="1" w:styleId="Style16">
    <w:name w:val="Колонтитул (2)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Заголовок №1"/>
    <w:basedOn w:val="Normal"/>
    <w:link w:val="CharStyle22"/>
    <w:pPr>
      <w:widowControl w:val="0"/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3">
    <w:name w:val="Другое"/>
    <w:basedOn w:val="Normal"/>
    <w:link w:val="CharStyle24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footer" Target="footer3.xml"/><Relationship Id="rId16" Type="http://schemas.openxmlformats.org/officeDocument/2006/relationships/footer" Target="footer4.xml"/></Relationships>
</file>