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605"/>
        <w:gridCol w:w="10680"/>
        <w:gridCol w:w="1267"/>
        <w:gridCol w:w="1570"/>
      </w:tblGrid>
      <w:tr>
        <w:trPr>
          <w:trHeight w:val="108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144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1 кв. 2023 года</w:t>
            </w: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67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1128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50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104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ИНФОРМАЦИЯИ ОБ ОБЪЕМЕ ПРЕДРОСТАВЛЯЕМЫХ СОЦИАЛЬНЫХ УСЛУГ</w:t>
            </w:r>
          </w:p>
        </w:tc>
      </w:tr>
      <w:tr>
        <w:trPr>
          <w:trHeight w:val="133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1 кв. 2023 года</w:t>
            </w:r>
          </w:p>
        </w:tc>
      </w:tr>
      <w:tr>
        <w:trPr>
          <w:trHeight w:val="60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5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55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67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32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32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32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2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правовые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дополнительные услуги, не предусмотренные в Законе ХМАО Югры от 19.11.2014 № 93- оз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927</w:t>
            </w:r>
          </w:p>
        </w:tc>
      </w:tr>
      <w:tr>
        <w:trPr>
          <w:trHeight w:val="52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29947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</w:tbl>
    <w:sectPr>
      <w:footnotePr>
        <w:pos w:val="pageBottom"/>
        <w:numFmt w:val="decimal"/>
        <w:numRestart w:val="continuous"/>
      </w:footnotePr>
      <w:pgSz w:w="19200" w:h="27149"/>
      <w:pgMar w:top="1733" w:left="2530" w:right="2549" w:bottom="1451" w:header="1305" w:footer="10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ФЕЧЕРА</dc:creator>
  <cp:keywords/>
</cp:coreProperties>
</file>