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266" w:left="1565" w:right="387" w:bottom="384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6"/>
        <w:keepNext w:val="0"/>
        <w:keepLines w:val="0"/>
        <w:framePr w:w="3852" w:h="594" w:wrap="none" w:vAnchor="text" w:hAnchor="page" w:x="15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 Ханты-Мансийского автономного</w:t>
      </w:r>
    </w:p>
    <w:p>
      <w:pPr>
        <w:pStyle w:val="Style6"/>
        <w:keepNext w:val="0"/>
        <w:keepLines w:val="0"/>
        <w:framePr w:w="3226" w:h="590" w:wrap="none" w:vAnchor="text" w:hAnchor="page" w:x="1592" w:y="5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округа - Юг «Белоярский</w:t>
      </w:r>
    </w:p>
    <w:p>
      <w:pPr>
        <w:pStyle w:val="Style9"/>
        <w:keepNext w:val="0"/>
        <w:keepLines w:val="0"/>
        <w:framePr w:w="3226" w:h="590" w:wrap="none" w:vAnchor="text" w:hAnchor="page" w:x="1592" w:y="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К0МПЛ1</w:t>
      </w:r>
    </w:p>
    <w:p>
      <w:pPr>
        <w:pStyle w:val="Style11"/>
        <w:keepNext w:val="0"/>
        <w:keepLines w:val="0"/>
        <w:framePr w:w="936" w:h="324" w:wrap="none" w:vAnchor="text" w:hAnchor="page" w:x="4284" w:y="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идарова</w:t>
      </w:r>
    </w:p>
    <w:p>
      <w:pPr>
        <w:pStyle w:val="Style11"/>
        <w:keepNext w:val="0"/>
        <w:keepLines w:val="0"/>
        <w:framePr w:w="346" w:h="317" w:wrap="none" w:vAnchor="text" w:hAnchor="page" w:x="1566" w:y="2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</w:t>
      </w:r>
    </w:p>
    <w:p>
      <w:pPr>
        <w:pStyle w:val="Style6"/>
        <w:keepNext w:val="0"/>
        <w:keepLines w:val="0"/>
        <w:framePr w:w="1418" w:h="594" w:wrap="none" w:vAnchor="text" w:hAnchor="page" w:x="3860" w:y="825"/>
        <w:widowControl w:val="0"/>
        <w:shd w:val="clear" w:color="auto" w:fill="auto"/>
        <w:bidi w:val="0"/>
        <w:spacing w:before="0" w:after="0" w:line="240" w:lineRule="auto"/>
        <w:ind w:left="240" w:right="0" w:hanging="2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социального ия»</w:t>
      </w:r>
    </w:p>
    <w:p>
      <w:pPr>
        <w:pStyle w:val="Style6"/>
        <w:keepNext w:val="0"/>
        <w:keepLines w:val="0"/>
        <w:framePr w:w="4637" w:h="994" w:wrap="none" w:vAnchor="text" w:hAnchor="page" w:x="6362" w:y="6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Представительного органа работников бюджетного учреждения Ханты-Мансийского автономного округа</w:t>
      </w:r>
    </w:p>
    <w:p>
      <w:pPr>
        <w:pStyle w:val="Style6"/>
        <w:keepNext w:val="0"/>
        <w:keepLines w:val="0"/>
        <w:framePr w:w="4648" w:h="864" w:wrap="none" w:vAnchor="text" w:hAnchor="page" w:x="6351" w:y="106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Югры «Белоярский комплексный центр социального обслуживания населения»</w:t>
      </w:r>
    </w:p>
    <w:p>
      <w:pPr>
        <w:pStyle w:val="Style6"/>
        <w:keepNext w:val="0"/>
        <w:keepLines w:val="0"/>
        <w:framePr w:w="2398" w:h="320" w:wrap="none" w:vAnchor="text" w:hAnchor="page" w:x="6380" w:y="28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 февраля 2025 года</w:t>
      </w:r>
    </w:p>
    <w:p>
      <w:pPr>
        <w:widowControl w:val="0"/>
        <w:spacing w:line="360" w:lineRule="exact"/>
      </w:pPr>
      <w:r>
        <w:drawing>
          <wp:anchor distT="0" distB="6985" distL="210185" distR="578485" simplePos="0" relativeHeight="62914694" behindDoc="1" locked="0" layoutInCell="1" allowOverlap="1">
            <wp:simplePos x="0" y="0"/>
            <wp:positionH relativeFrom="page">
              <wp:posOffset>1203960</wp:posOffset>
            </wp:positionH>
            <wp:positionV relativeFrom="paragraph">
              <wp:posOffset>434340</wp:posOffset>
            </wp:positionV>
            <wp:extent cx="1530350" cy="1499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530350" cy="1499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4443730</wp:posOffset>
            </wp:positionH>
            <wp:positionV relativeFrom="paragraph">
              <wp:posOffset>1143000</wp:posOffset>
            </wp:positionV>
            <wp:extent cx="2255520" cy="57912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255520" cy="579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66" w:left="1565" w:right="387" w:bottom="38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8" w:left="0" w:right="0" w:bottom="14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2024-2026 годы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 февраля 2025 года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работников Шаровой Виктории Викторовны, договорились о внесении изменений в коллективный договор, заключенный на 2024-2026 годы: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Внести изменения в приложение 2 к коллективному договору «Положение об образовании и использовании средств, полученных от приносящей доход деятельности бюджетного учреждения Ханты-Мансийского автономного округа - Югры «Белоярский комплексный центр социального обслуживания населения».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п. 3.1. раздела 3. Основные направления расходования средств, полученных от приносящих доход деятельности изложить в следующей редакции: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«3.1. Денежные средства, полученные от приносящей доход деятельности, в зависимости от источника их формирования, расходуются по следующим направлениям: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средства от оказания платных услуг, после расчета по налогам в соответствии с действующим законодательством, на основании нормативно-правовых документов учреждения направляются на текущие расходы и расходы капитального характера учреждения согласно утвержденной смете доходов и расходов согласно статьям экономической классификации расходов: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156" w:lineRule="auto"/>
        <w:ind w:left="720" w:right="0" w:firstLine="2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5767070</wp:posOffset>
                </wp:positionH>
                <wp:positionV relativeFrom="paragraph">
                  <wp:posOffset>177800</wp:posOffset>
                </wp:positionV>
                <wp:extent cx="1531620" cy="69723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1620" cy="697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380" w:right="0" w:firstLine="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 коллективный договор) -.гг.счии ’о стране труда и социальной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18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 xml:space="preserve">■''.дм номер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у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 xml:space="preserve">cS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&amp; &lt;3'~7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4.10000000000002pt;margin-top:14.pt;width:120.59999999999999pt;height:54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380" w:right="0" w:firstLine="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 коллективный договор) -.гг.счии ’о стране труда и социальной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18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 xml:space="preserve">■''.дм номер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у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en-US" w:eastAsia="en-US" w:bidi="en-US"/>
                        </w:rPr>
                        <w:t xml:space="preserve">cS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ru-RU" w:eastAsia="ru-RU" w:bidi="ru-RU"/>
                        </w:rPr>
                        <w:t>&amp; &lt;3'~7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года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190500</wp:posOffset>
                </wp:positionV>
                <wp:extent cx="2066290" cy="40894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6290" cy="4089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под статьям: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211 «Заработная плата»: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0.049999999999997pt;margin-top:15.pt;width:162.69999999999999pt;height:32.2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под статьям: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211 «Заработная плата»: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оплата труда и начисления на выплаты по оплате труда статья 21 б, в том числе по </w:t>
      </w:r>
      <w:r>
        <w:rPr>
          <w:color w:val="B9C2D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Нм™ регистр''</w:t>
      </w:r>
      <w:r>
        <w:rPr>
          <w:color w:val="B9C2D3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:</w:t>
      </w:r>
      <w:r>
        <w:rPr>
          <w:color w:val="B9C2D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'сзл.ч </w:t>
      </w:r>
      <w:r>
        <w:rPr>
          <w:color w:val="B9C2D3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nw’/r'.j </w:t>
      </w:r>
      <w:r>
        <w:rPr>
          <w:color w:val="B9C2D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Выплаты денежных средств работникам учреждения, полученные от приносящей доход деятельности, следующие: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стимулирующие выплаты (за интенсивность и высокие результаты работы, за качество выполняемых работ) при наличии обоснованной экономии, в соответствии с действующим коллективным договором;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работнику материальной помощи в случае смерти близких родственников (родители, муж, жена, дети) в размере 10 000 рублей;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материальной помощи одному из близких родственников работника (муж, жена, родители, дети) в случае смерти работника в размере 10 000 рублей;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в размере 3000 рублей, работникам, проработавшим в течение календарного года без листков нетрудоспособности при наличии обоснованной экономии фонда оплаты труда, в соответствии с действующим коллективным договором;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одного месячного фонда оплаты труда работающим юбилярам, которым исполняется 50, 55,60 и 65 лет, проработавшим в учреждении не менее 10 лет, за счет обоснованной экономии бюджетных средств по фонду оплаты труда. Разрешается выплата за счет обоснованной экономии бюджетных средств по фонду оплаты труда (основание: Отраслевое соглашение между Департаментом социального развития Ханты- Мансийского автономного округа - Югры и Объединенной профсоюзной организацией работников социальной защиты Ханты-Мансийского автономного округа - Югры по обеспечению социально-трудовых гарантий работникам отрасли на 2023 - 2025 годы.);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руководителю и секретарю выборного Представительного органа учреждения, не освобожденных от основной работы.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Размер стимулирующих выплат устанавливается комиссией по установлению стимулирующих выплат в процентном соотношении к должностному окладу по занимаемой должности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 на основании критериев, указанных в приложении 3, в приложении 4 к Положению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населения», но не более 100 процентов.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стимулирующих выплат производится на основании приказа директора учреждения, при наличии обоснованной экономии.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устанавливается ежемесячно, персонально по каждому работнику на основании показателя оценки эффективности деятельности работника.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Материальная помощь, выплаты юбилярам производится на основании приказа директора учреждения, с учетом мнения Представительного органа работников, при наличии обоснованной экономии.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Стимулирующие выплаты директору учреждения устанавливаются приказом Департамента государственной гражданской службы, кадровой политики и профилактики коррупции Ханты-Мансийского автономного округа - Югры по предложению Департамента социального развития Ханты-Мансийского автономного округа - Югры. Выплаты, предусмотренные отраслевым соглашением между Департаментом социального развития Ханты-Мансийского автономного округа - Югры и Объединенной профсоюзной организацией работников социальной защиты Ханты-Мансийского автономного округа - Югры по обеспечению социально-трудовых гарантий работникам отрасли, директору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учреждения производятся на основании согласованного с Управлением социальной защиты населения, опеки и попечительства по Белоярскому району ходатайства.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0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«Прочие несоциальные выплаты персоналу в денежной форме» - возмещение командировочных расходов (суточные);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0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«Начисления на выплаты по оплате труда» - страховые взносы во внебюджетные фонды в соответствии с законодательством;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«Прочие несоциальные выплаты персоналу в натуральной форме», в том числе оплата проезда на похороны близких родственников (родители, муж, жена, дети).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Оплата работ и услуг статья 220 - выполнение работ, оказание услуг, связанных с текущей деятельностью учреждения (услуги связи, коммунальные услуги, текущий ремонт и техническое обслуживание оборудования, помещений, обучение сотрудников, проведение санитарно-эпидемиологических экспертиз, оплата проезда на похороны близких родственников (родители, муж, жена, дети) и т.д.) в том числе по подстатьям: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0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«Услуги связи»;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«Транспортные услуги»;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«Коммунальные услуги»;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9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«Арендная плата за пользование имуществом (за исключением земельных участков и других обособленных природных объектов)»;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«Работы, услуги по содержанию имущества»;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9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«Прочие работы, услуги», в том числе возмещение командировочных расходов (проезд, проживание), прохождение предварительного медицинского осмотра сотрудников при заключении трудовых договоров и т.д.;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«Страхование»;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«Услуги, работы для целей капитальных вложений».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267 «Социальные компенсации персоналу в натуральной форме».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Статья 290 «Прочие расходы» - налоги в соответствии с законодательством, штрафы, государственных пошлин, судебные издержки, морального вреда и т.д.;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Статья 310 «Увеличение стоимости основных средств» - расходы капитального характера - приобретение (изготовление), модернизация основных средств.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Статья 340 «Увеличение стоимости материальных запасов» - приобретение (изготовление) материалов, сырья, готовой продукции предназначенных для использования в процессе деятельности учреждения (медикаментов, продуктов питания, горюче-смазочных материалов, строительных материалов, мягкого инвентаря, прочих оборотных запасов (материалов), прочих материальных запасов однократного применения (подарки, сувениры, грамоты и т.д.)».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и распространяет свое действие на правоотношения, возникающие с 1 января 2025 года.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98" w:left="1138" w:right="1316" w:bottom="14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7271385</wp:posOffset>
              </wp:positionH>
              <wp:positionV relativeFrom="page">
                <wp:posOffset>10513060</wp:posOffset>
              </wp:positionV>
              <wp:extent cx="38735" cy="501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35" cy="50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499C9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en-US" w:eastAsia="en-US" w:bidi="en-US"/>
                            </w:rPr>
                            <w:t>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72.54999999999995pt;margin-top:827.79999999999995pt;width:3.0499999999999998pt;height:3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8499C9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>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1037590</wp:posOffset>
              </wp:positionH>
              <wp:positionV relativeFrom="page">
                <wp:posOffset>610235</wp:posOffset>
              </wp:positionV>
              <wp:extent cx="4110355" cy="1301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035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47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От Работодателя:</w:t>
                            <w:tab/>
                            <w:t>От Работников: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700000000000003pt;margin-top:48.049999999999997pt;width:323.64999999999998pt;height:10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От Работодателя:</w:t>
                      <w:tab/>
                      <w:t>От Работников: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1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2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Основной текст (3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Подпись к картинке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Основной текст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B9C2D3"/>
      <w:sz w:val="11"/>
      <w:szCs w:val="11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Подпись к картинке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FFFFFF"/>
      <w:spacing w:after="120" w:line="329" w:lineRule="auto"/>
      <w:ind w:left="190" w:firstLine="1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9C2D3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/Relationships>
</file>