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Уведомление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регистрации коллективного договора, соглашения (дополнения и</w:t>
        <w:br/>
        <w:t>изменения в коллективный договор, соглашение), без наличия условий,</w:t>
        <w:br/>
        <w:t>ухудшающих положение работников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Белоярский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8568" w:val="left"/>
        </w:tabs>
        <w:bidi w:val="0"/>
        <w:spacing w:before="0" w:after="62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25 февраля 2022 г.</w:t>
        <w:tab/>
        <w:t>№ 12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результатам рассмотрения дополнительного соглашения к коллективному договору, заключенного между бюджетным учреждением Ханты-Мансийского автономного округа - Югры «Белоярский комплексный центр социального обслуживания населения» в лице директора Гейдаровой В.С. и работниками бюджетного учреждения Ханты-Мансийского автономного округа - Югры «Белоярский комплексный центр социального обслуживания населения» в лице председателя представительного органа трудового коллектива Ардынцевой Е.И. 21 февраля 2022 года на срок действия с 21 февраля 2022 года по 31 декабря 2023 года.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(указываются стороны, подписавшие коллективный договор, соглашение, дата подписания, срок</w:t>
        <w:br/>
        <w:t>действия)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присвоен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регистрационный номер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181533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Дата регистрации от 25 февраля 2022 года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74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Условия коллективного договора,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не выявлены.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Главный специалист отдела по охране труда и социальной политике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3578225</wp:posOffset>
                </wp:positionH>
                <wp:positionV relativeFrom="paragraph">
                  <wp:posOffset>177800</wp:posOffset>
                </wp:positionV>
                <wp:extent cx="1881505" cy="36576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1505" cy="365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139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ab/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(подпись, заверенная печатью)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1.75pt;margin-top:14.pt;width:148.15000000000001pt;height:28.8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139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ab/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(подпись, заверенная печатью)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drawing>
          <wp:anchor distT="0" distB="167005" distL="114300" distR="1661795" simplePos="0" relativeHeight="125829380" behindDoc="0" locked="0" layoutInCell="1" allowOverlap="1">
            <wp:simplePos x="0" y="0"/>
            <wp:positionH relativeFrom="page">
              <wp:posOffset>4536440</wp:posOffset>
            </wp:positionH>
            <wp:positionV relativeFrom="paragraph">
              <wp:posOffset>50800</wp:posOffset>
            </wp:positionV>
            <wp:extent cx="640080" cy="323215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4008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14300" distB="0" distL="1321435" distR="114300" simplePos="0" relativeHeight="125829381" behindDoc="0" locked="0" layoutInCell="1" allowOverlap="1">
                <wp:simplePos x="0" y="0"/>
                <wp:positionH relativeFrom="page">
                  <wp:posOffset>5743575</wp:posOffset>
                </wp:positionH>
                <wp:positionV relativeFrom="paragraph">
                  <wp:posOffset>165100</wp:posOffset>
                </wp:positionV>
                <wp:extent cx="982980" cy="37719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2980" cy="377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Кузьмина Р.Е,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(Ф. И.О.)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52.25pt;margin-top:13.pt;width:77.400000000000006pt;height:29.699999999999999pt;z-index:-125829372;mso-wrap-distance-left:104.05pt;mso-wrap-distance-top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u w:val="single"/>
                          <w:shd w:val="clear" w:color="auto" w:fill="auto"/>
                          <w:lang w:val="ru-RU" w:eastAsia="ru-RU" w:bidi="ru-RU"/>
                        </w:rPr>
                        <w:t>Кузьмина Р.Е,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(Ф. И.О.)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управления по охране труда и социальной политике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администрации Белоярского района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72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(должность)</w:t>
      </w:r>
    </w:p>
    <w:p>
      <w:pPr>
        <w:widowControl w:val="0"/>
        <w:spacing w:after="3854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5182870</wp:posOffset>
            </wp:positionH>
            <wp:positionV relativeFrom="paragraph">
              <wp:posOffset>1181100</wp:posOffset>
            </wp:positionV>
            <wp:extent cx="1670050" cy="126809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670050" cy="1268095"/>
                    </a:xfrm>
                    <a:prstGeom prst="rect"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1757680" distL="123190" distR="1755775" simplePos="0" relativeHeight="125829383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12700</wp:posOffset>
                </wp:positionV>
                <wp:extent cx="1158875" cy="20129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887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От Работодателя: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1.25pt;margin-top:1.pt;width:91.25pt;height:15.85pt;z-index:-125829370;mso-wrap-distance-left:9.6999999999999993pt;mso-wrap-distance-right:138.25pt;mso-wrap-distance-bottom:138.4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От Работодателя: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527685" distB="0" distL="114300" distR="699135" simplePos="0" relativeHeight="125829385" behindDoc="0" locked="0" layoutInCell="1" allowOverlap="1">
            <wp:simplePos x="0" y="0"/>
            <wp:positionH relativeFrom="page">
              <wp:posOffset>895985</wp:posOffset>
            </wp:positionH>
            <wp:positionV relativeFrom="paragraph">
              <wp:posOffset>540385</wp:posOffset>
            </wp:positionV>
            <wp:extent cx="2225040" cy="1432560"/>
            <wp:wrapSquare wrapText="bothSides"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225040" cy="14325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215900</wp:posOffset>
                </wp:positionV>
                <wp:extent cx="2324735" cy="178435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24735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Директор бюджетного учреждения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0.75pt;margin-top:17.pt;width:183.05000000000001pt;height:14.0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Директор бюджетного учреждения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907415</wp:posOffset>
                </wp:positionH>
                <wp:positionV relativeFrom="paragraph">
                  <wp:posOffset>396240</wp:posOffset>
                </wp:positionV>
                <wp:extent cx="2251710" cy="14414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51710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Ханты-Мансийского автономного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1.450000000000003pt;margin-top:31.199999999999999pt;width:177.30000000000001pt;height:11.3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Ханты-Мансийского автономного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2363470</wp:posOffset>
                </wp:positionH>
                <wp:positionV relativeFrom="paragraph">
                  <wp:posOffset>1264920</wp:posOffset>
                </wp:positionV>
                <wp:extent cx="788670" cy="203200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8670" cy="203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. Гейдарова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86.09999999999999pt;margin-top:99.599999999999994pt;width:62.100000000000001pt;height:16.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. Гейдарова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530225" distB="1227455" distL="2018665" distR="113665" simplePos="0" relativeHeight="125829386" behindDoc="0" locked="0" layoutInCell="1" allowOverlap="1">
                <wp:simplePos x="0" y="0"/>
                <wp:positionH relativeFrom="page">
                  <wp:posOffset>2800350</wp:posOffset>
                </wp:positionH>
                <wp:positionV relativeFrom="paragraph">
                  <wp:posOffset>542925</wp:posOffset>
                </wp:positionV>
                <wp:extent cx="905510" cy="201295"/>
                <wp:wrapSquare wrapText="bothSides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комплексный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20.5pt;margin-top:42.75pt;width:71.299999999999997pt;height:15.85pt;z-index:-125829367;mso-wrap-distance-left:158.94999999999999pt;mso-wrap-distance-top:41.75pt;mso-wrap-distance-right:8.9499999999999993pt;mso-wrap-distance-bottom:96.650000000000006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комплексный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 Работников: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520" w:right="0" w:firstLine="0"/>
        <w:jc w:val="right"/>
      </w:pPr>
      <w:r>
        <w:drawing>
          <wp:anchor distT="0" distB="48260" distL="114300" distR="1376045" simplePos="0" relativeHeight="125829388" behindDoc="0" locked="0" layoutInCell="1" allowOverlap="1">
            <wp:simplePos x="0" y="0"/>
            <wp:positionH relativeFrom="page">
              <wp:posOffset>5193665</wp:posOffset>
            </wp:positionH>
            <wp:positionV relativeFrom="paragraph">
              <wp:posOffset>1168400</wp:posOffset>
            </wp:positionV>
            <wp:extent cx="420370" cy="389890"/>
            <wp:wrapTopAndBottom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20370" cy="3898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5641975</wp:posOffset>
                </wp:positionH>
                <wp:positionV relativeFrom="paragraph">
                  <wp:posOffset>1223010</wp:posOffset>
                </wp:positionV>
                <wp:extent cx="1234440" cy="381635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4440" cy="3816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_Е.И Ардынцова февраля 2022 года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44.25pt;margin-top:96.299999999999997pt;width:97.200000000000003pt;height:30.050000000000001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_Е.И Ардынцова февраля 2022 года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Председатель представительного органа трудового коллектива бюджетного учреждения Ханты- Мансийского автономного округа - Югры «Белоярский комплексный центр социального обслуживания населения»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480" w:after="0" w:line="262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ДОПОЛНИТЕЛЬНОЕ СОГЛАШЕНИЕ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62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к коллективному договору между работниками бюджетного учреждения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и бюджетным учреждением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на 2021-2023 годы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21 февраля 2022 года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780"/>
        <w:jc w:val="both"/>
      </w:pPr>
      <w: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5033645</wp:posOffset>
                </wp:positionH>
                <wp:positionV relativeFrom="paragraph">
                  <wp:posOffset>5092700</wp:posOffset>
                </wp:positionV>
                <wp:extent cx="2061845" cy="749935"/>
                <wp:wrapSquare wrapText="bothSides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1845" cy="749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righ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mallCaps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Кол.'Кктиен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mallCaps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vertAlign w:val="superscript"/>
                                <w:lang w:val="ru-RU" w:eastAsia="ru-RU" w:bidi="ru-RU"/>
                              </w:rPr>
                              <w:t>1 2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 длгоег.р, (изменения в колпэкти! &lt; &gt;'• ’&lt; овср) аньной!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Регистр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58" w:val="left"/>
                              </w:tabs>
                              <w:bidi w:val="0"/>
                              <w:spacing w:before="0" w:after="100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2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J</w:t>
                              <w:tab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96.35000000000002pt;margin-top:401.pt;width:162.34999999999999pt;height:59.049999999999997pt;z-index:-12582936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right="0" w:firstLine="0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smallCap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Кол.'Кктиен</w:t>
                      </w:r>
                      <w:r>
                        <w:rPr>
                          <w:rFonts w:ascii="Times New Roman" w:eastAsia="Times New Roman" w:hAnsi="Times New Roman" w:cs="Times New Roman"/>
                          <w:smallCaps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1 2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 длгоег.р, (изменения в колпэкти! &lt; &gt;'• ’&lt; овср) аньной!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Регистр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58" w:val="left"/>
                        </w:tabs>
                        <w:bidi w:val="0"/>
                        <w:spacing w:before="0" w:after="100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2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J</w:t>
                        <w:tab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Бюджетное учреждение Ханты-Мансийского автономного округа - Югры «Белоярский комплексный центр социального обслуживания населения» (далее - Работодатель), в лице директора Гейдаровой Валерии Сергеевны и работники бюджетного учреждения Ханты-Мансийского автономного округа - Югры «Белоярский комплексный центр социального обслуживания населения» (далее - Работники), в лице председателя Представительного органа Ардынцовой Елены Игоревны, договорились о внесении изменений в коллективный договор, заключенный на 2021-2023 годы: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водителям за классность;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за ученую степень;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за почетное звание;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0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ежемесячная надбавка к должностному окладу молодым специалистам; единовременная выплата при предоставлении ежегодного оплачиваемого отпуска; единовременное премирование к праздничным дням, профессиональным праздникам;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0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работникам, проработавшим в течение календарного года без листков нетрудоспособности;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0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выплата за работу с лицами, заболевшими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COVID-19,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 лицами из группы риска, установленной подпунктами 14.1 пункта 14 Постановления Губернатора Ханты- Мансийского автономного округа - Югры от 18 марта 2020 года № 20 «О введении режима повышенной готовности в Ханты-Мансийском автономном округе - Югре».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0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Пункт 6.7. раздела 6 «Оплата труда» коллективного договора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 декабря 2021 года читать в следующей редакции: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«Выплаты стимулирующего характера (за интенсивность и высокие результаты работы, за качество выполняемых работ, премиальные выплаты по итогам работы, выплаты за выслугу лет) производятся на основании Положения «Об оплате труда работников бюджетного учреждения Ханты-Мансийского автономного округа - Югры «Белоярский комплексный центр социального обслуживания населения» (Приложение 1).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95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Исключить пункт 5.4. раздела 5 «Режим рабочего времени и время отдыха» коллективного договора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 декабря 2021 года.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0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пункте 6.13 раздела VI «Порядок и условия установления иных выплат» приложения 1 «Положение об оплате труда работников бюджетного учреждения Ханты- Мансийского автономного округа - Югры «Белоярский комплексный центр социального обслуживания населения» к коллективному договору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 декабря 2021 года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абзац «- оплата проезда на похороны близких родственников (родители, муж, жена, дети).» заменить на абзац следующего содержания: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«- оплата стоимости проезда и провоза багажа (до 10 кг включительно) на похороны близких родственников (родители, муж, жена, дети).»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08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Пункт 2.1.3 раздела II «Основные условия оплаты труда работников учреждения» приложения 1 «Положение об оплате труда работников бюджетного учреждения Ханты-Мансийского автономного округа - Югры «Белоярский комплексный центр социального обслуживания населения» к коллективному договору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 декабря 2021 года читать в следующей редакции: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  <w:sectPr>
          <w:footerReference w:type="default" r:id="rId13"/>
          <w:footerReference w:type="even" r:id="rId14"/>
          <w:footnotePr>
            <w:pos w:val="pageBottom"/>
            <w:numFmt w:val="decimal"/>
            <w:numRestart w:val="continuous"/>
          </w:footnotePr>
          <w:pgSz w:w="11900" w:h="16840"/>
          <w:pgMar w:top="914" w:left="1400" w:right="1054" w:bottom="994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«2.1.3. Должностные оклады медицинских работников на основе отнесения занимаемых ими должностей служащих к профессиональным квалификационным группам, утвержденным приказом Министерством здравоохранения и социального развития Российской Федерации от 6 августа 2007 года № 526 «Об утверждении профессиональных квалификационных групп должностей медицинских и фармацевтических работников»,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713"/>
        <w:gridCol w:w="3406"/>
        <w:gridCol w:w="3672"/>
        <w:gridCol w:w="1436"/>
      </w:tblGrid>
      <w:tr>
        <w:trPr>
          <w:trHeight w:val="1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Размер должностног о оклада, руб.</w:t>
            </w:r>
          </w:p>
        </w:tc>
      </w:tr>
      <w:tr>
        <w:trPr>
          <w:trHeight w:val="580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медицинских и фармацевтических работников</w:t>
            </w:r>
          </w:p>
        </w:tc>
      </w:tr>
      <w:tr>
        <w:trPr>
          <w:trHeight w:val="5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Профессиональная квалификационная группа «Медицинский и фармацевтический персонал первою уровня»</w:t>
            </w:r>
          </w:p>
        </w:tc>
      </w:tr>
      <w:tr>
        <w:trPr>
          <w:trHeight w:val="5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санитарка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10 644,69</w:t>
            </w:r>
          </w:p>
        </w:tc>
      </w:tr>
      <w:tr>
        <w:trPr>
          <w:trHeight w:val="5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>
        <w:trPr>
          <w:trHeight w:val="8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инструктор по лечебной физкультуре, инструктор по трудовой терапии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12 241,45</w:t>
            </w:r>
          </w:p>
        </w:tc>
      </w:tr>
      <w:tr>
        <w:trPr>
          <w:trHeight w:val="8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медицинская сестра, медицинская сестра палатная (постовая), медицинская сестра по массажу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12611,39</w:t>
            </w:r>
          </w:p>
        </w:tc>
      </w:tr>
      <w:tr>
        <w:trPr>
          <w:trHeight w:val="8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старшая медицинская сестра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12 992,54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Профессиональная квалш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])икационная группа «Врачи и провизоры»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врач-специалист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19488,87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134" w:val="left"/>
        </w:tabs>
        <w:bidi w:val="0"/>
        <w:spacing w:before="0" w:after="0" w:line="240" w:lineRule="auto"/>
        <w:ind w:left="0" w:right="0" w:firstLine="720"/>
        <w:jc w:val="both"/>
        <w:sectPr>
          <w:footerReference w:type="default" r:id="rId15"/>
          <w:footerReference w:type="even" r:id="rId16"/>
          <w:footnotePr>
            <w:pos w:val="pageBottom"/>
            <w:numFmt w:val="decimal"/>
            <w:numRestart w:val="continuous"/>
          </w:footnotePr>
          <w:pgSz w:w="11900" w:h="16840"/>
          <w:pgMar w:top="914" w:left="1400" w:right="1054" w:bottom="994" w:header="486" w:footer="566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дополнительное соглашение вступает в силу с момента подписания между работниками бюджетного учреждения Ханты-Мансийского автономного округа - Югры «Белоярский комплексный центр социального обслуживания населения» и бюджетным учреждением Ханты-Мансийского автономного округа - Югры «Белоярский комплексный центр социального обслуживания населения» и распространяет свое действие на правоотношения, возникающие с 21 февраля 2022 года.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</w:t>
        <w:tab/>
        <w:t>Пункт 4.1. раздела IV «Порядок и условия осуществления стимулирующих выплат» приложения 1 «Положение об оплате труда работников бюджетного учреждения Ханты-Мансийского автономного округа - Югры «Белоярский комплексный центр социального обслуживания населения» к коллективному договору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 декабря 2021 года читать в следующей редакции: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«Стимулирующие выплаты осуществляются по основному месту работы и основной занимаемой должности. К стимулирующим выплатам относятся: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за интенсивность работы;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выплаты за качество выполняемых работ;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выплата за выслугу лет;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премиальные выплаты по итогам работы за квартал;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коэффициент эффективности деятельности работника (далее по тексту - КЭД); премиальные выплаты по итогам работы за календарный год.».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997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2.</w:t>
        <w:tab/>
        <w:t>В пункт 6.1 раздела VI «Порядок и условия установления иных выплат» приложения 1 «Положение об оплате труда работников бюджетного учреждения Ханты- Мансийского автономного округа - Югры «Белоярский комплексный центр социального обслуживания населения» к коллективному договору между работниками БУ «Белоярский комплексный центр социального обслуживания населения» и БУ «Белоярский комплексный центр социального обслуживания .населения»., .от 26 декабря 2021 года читать в следующей редакции: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«Иные выплаты осуществляются по основному меетуип работы и основной занимаемой должности. К иным выплатам относятся: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914" w:left="1400" w:right="1054" w:bottom="99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5788025</wp:posOffset>
              </wp:positionH>
              <wp:positionV relativeFrom="page">
                <wp:posOffset>10288905</wp:posOffset>
              </wp:positionV>
              <wp:extent cx="471170" cy="9144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11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Lucida Sans Unicode" w:eastAsia="Lucida Sans Unicode" w:hAnsi="Lucida Sans Unicode" w:cs="Lucida Sans Unicode"/>
                              <w:color w:val="ABB5CA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>(Д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color w:val="ABB5CA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vertAlign w:val="superscript"/>
                              <w:lang w:val="ru-RU" w:eastAsia="ru-RU" w:bidi="ru-RU"/>
                            </w:rPr>
                            <w:t>3:1</w:t>
                          </w:r>
                          <w:r>
                            <w:rPr>
                              <w:rFonts w:ascii="Lucida Sans Unicode" w:eastAsia="Lucida Sans Unicode" w:hAnsi="Lucida Sans Unicode" w:cs="Lucida Sans Unicode"/>
                              <w:color w:val="ABB5CA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ru-RU" w:eastAsia="ru-RU" w:bidi="ru-RU"/>
                            </w:rPr>
                            <w:t xml:space="preserve"> лисе; ь)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455.75pt;margin-top:810.14999999999998pt;width:37.100000000000001pt;height:7.2000000000000002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Lucida Sans Unicode" w:eastAsia="Lucida Sans Unicode" w:hAnsi="Lucida Sans Unicode" w:cs="Lucida Sans Unicode"/>
                        <w:color w:val="ABB5CA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>(Д</w:t>
                    </w:r>
                    <w:r>
                      <w:rPr>
                        <w:rFonts w:ascii="Lucida Sans Unicode" w:eastAsia="Lucida Sans Unicode" w:hAnsi="Lucida Sans Unicode" w:cs="Lucida Sans Unicode"/>
                        <w:color w:val="ABB5CA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vertAlign w:val="superscript"/>
                        <w:lang w:val="ru-RU" w:eastAsia="ru-RU" w:bidi="ru-RU"/>
                      </w:rPr>
                      <w:t>3:1</w:t>
                    </w:r>
                    <w:r>
                      <w:rPr>
                        <w:rFonts w:ascii="Lucida Sans Unicode" w:eastAsia="Lucida Sans Unicode" w:hAnsi="Lucida Sans Unicode" w:cs="Lucida Sans Unicode"/>
                        <w:color w:val="ABB5CA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ru-RU" w:eastAsia="ru-RU" w:bidi="ru-RU"/>
                      </w:rPr>
                      <w:t xml:space="preserve"> лисе; 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2">
    <w:name w:val="Подпись к картинке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Основной текст (3)_"/>
    <w:basedOn w:val="DefaultParagraphFont"/>
    <w:link w:val="Style1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ABB5CA"/>
      <w:sz w:val="12"/>
      <w:szCs w:val="12"/>
      <w:u w:val="none"/>
    </w:rPr>
  </w:style>
  <w:style w:type="character" w:customStyle="1" w:styleId="CharStyle20">
    <w:name w:val="Колонтитул (2)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Другое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FFFFFF"/>
      <w:ind w:firstLine="7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ind w:firstLine="47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1">
    <w:name w:val="Подпись к картинке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Основной текст (3)"/>
    <w:basedOn w:val="Normal"/>
    <w:link w:val="CharStyle14"/>
    <w:pPr>
      <w:widowControl w:val="0"/>
      <w:shd w:val="clear" w:color="auto" w:fill="FFFFFF"/>
      <w:spacing w:after="160" w:line="228" w:lineRule="auto"/>
      <w:ind w:left="380"/>
      <w:jc w:val="right"/>
    </w:pPr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ABB5CA"/>
      <w:sz w:val="12"/>
      <w:szCs w:val="12"/>
      <w:u w:val="none"/>
    </w:rPr>
  </w:style>
  <w:style w:type="paragraph" w:customStyle="1" w:styleId="Style19">
    <w:name w:val="Колонтитул (2)"/>
    <w:basedOn w:val="Normal"/>
    <w:link w:val="CharStyle2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Другое"/>
    <w:basedOn w:val="Normal"/>
    <w:link w:val="CharStyle24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oter" Target="footer4.xml"/></Relationships>
</file>