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72" w:left="1242" w:right="570" w:bottom="132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3874" w:h="1631" w:wrap="none" w:vAnchor="text" w:hAnchor="page" w:x="1416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 Ханты-Мансийского автономного ы «Белоярский нтр социального еления»</w:t>
      </w:r>
    </w:p>
    <w:p>
      <w:pPr>
        <w:pStyle w:val="Style8"/>
        <w:keepNext w:val="0"/>
        <w:keepLines w:val="0"/>
        <w:framePr w:w="1516" w:h="324" w:wrap="none" w:vAnchor="text" w:hAnchor="page" w:x="3565" w:y="1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С. Гейдарова</w:t>
      </w:r>
    </w:p>
    <w:p>
      <w:pPr>
        <w:pStyle w:val="Style8"/>
        <w:keepNext w:val="0"/>
        <w:keepLines w:val="0"/>
        <w:framePr w:w="720" w:h="317" w:wrap="none" w:vAnchor="text" w:hAnchor="page" w:x="2906" w:y="28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 года</w:t>
      </w:r>
    </w:p>
    <w:p>
      <w:pPr>
        <w:pStyle w:val="Style5"/>
        <w:keepNext w:val="0"/>
        <w:keepLines w:val="0"/>
        <w:framePr w:w="4658" w:h="1890" w:wrap="none" w:vAnchor="text" w:hAnchor="page" w:x="6200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Представительного органа работников бюджетного учреждения Ханты-Мансийского автономного округа - Югры «Белоярский комплексный центр социального обслуживания населен</w:t>
      </w:r>
    </w:p>
    <w:p>
      <w:pPr>
        <w:pStyle w:val="Style8"/>
        <w:keepNext w:val="0"/>
        <w:keepLines w:val="0"/>
        <w:framePr w:w="1454" w:h="328" w:wrap="none" w:vAnchor="text" w:hAnchor="page" w:x="8980" w:y="1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В.В. Шарова</w:t>
      </w:r>
    </w:p>
    <w:p>
      <w:pPr>
        <w:pStyle w:val="Style10"/>
        <w:keepNext w:val="0"/>
        <w:keepLines w:val="0"/>
        <w:framePr w:w="5058" w:h="1426" w:wrap="none" w:vAnchor="text" w:hAnchor="page" w:x="6204" w:y="234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Кслпектиеныи договор,</w:t>
        <w:br/>
        <w:t>(изменения в &lt;олпогтиЕний договор)</w:t>
        <w:br/>
        <w:t>зарегистрирован з Управлении по охране т.чаа и социальной</w:t>
      </w:r>
    </w:p>
    <w:p>
      <w:pPr>
        <w:pStyle w:val="Style5"/>
        <w:keepNext w:val="0"/>
        <w:keepLines w:val="0"/>
        <w:framePr w:w="5058" w:h="1426" w:wrap="none" w:vAnchor="text" w:hAnchor="page" w:x="6204" w:y="2341"/>
        <w:widowControl w:val="0"/>
        <w:shd w:val="clear" w:color="auto" w:fill="auto"/>
        <w:bidi w:val="0"/>
        <w:spacing w:before="0" w:after="160" w:line="216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 апреля 2025</w:t>
      </w:r>
    </w:p>
    <w:p>
      <w:pPr>
        <w:pStyle w:val="Style12"/>
        <w:keepNext w:val="0"/>
        <w:keepLines w:val="0"/>
        <w:framePr w:w="5058" w:h="1426" w:wrap="none" w:vAnchor="text" w:hAnchor="page" w:x="6204" w:y="2341"/>
        <w:widowControl w:val="0"/>
        <w:shd w:val="clear" w:color="auto" w:fill="auto"/>
        <w:tabs>
          <w:tab w:leader="hyphen" w:pos="2544" w:val="left"/>
          <w:tab w:pos="4002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(30,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i w:val="0"/>
          <w:iCs w:val="0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Q </w:t>
      </w:r>
      <w:r>
        <w:rPr>
          <w:i w:val="0"/>
          <w:iCs w:val="0"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20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года</w:t>
      </w:r>
    </w:p>
    <w:p>
      <w:pPr>
        <w:pStyle w:val="Style12"/>
        <w:keepNext w:val="0"/>
        <w:keepLines w:val="0"/>
        <w:framePr w:w="5058" w:h="1426" w:wrap="none" w:vAnchor="text" w:hAnchor="page" w:x="6204" w:y="2341"/>
        <w:widowControl w:val="0"/>
        <w:shd w:val="clear" w:color="auto" w:fill="auto"/>
        <w:tabs>
          <w:tab w:pos="2987" w:val="left"/>
        </w:tabs>
        <w:bidi w:val="0"/>
        <w:spacing w:before="0" w:after="0" w:line="214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W.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гг&lt;у О(Г</w:t>
      </w:r>
    </w:p>
    <w:p>
      <w:pPr>
        <w:pStyle w:val="Style8"/>
        <w:keepNext w:val="0"/>
        <w:keepLines w:val="0"/>
        <w:framePr w:w="2509" w:h="727" w:wrap="none" w:vAnchor="text" w:hAnchor="page" w:x="8821" w:y="37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ru-RU" w:eastAsia="ru-RU" w:bidi="ru-RU"/>
        </w:rPr>
        <w:t>в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 (дол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3"/>
          <w:szCs w:val="13"/>
          <w:u w:val="single"/>
          <w:shd w:val="clear" w:color="auto" w:fill="auto"/>
          <w:lang w:val="ru-RU" w:eastAsia="ru-RU" w:bidi="ru-RU"/>
        </w:rPr>
        <w:t>жнос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ть)</w:t>
      </w:r>
    </w:p>
    <w:p>
      <w:pPr>
        <w:pStyle w:val="Style8"/>
        <w:keepNext w:val="0"/>
        <w:keepLines w:val="0"/>
        <w:framePr w:w="2509" w:h="727" w:wrap="none" w:vAnchor="text" w:hAnchor="page" w:x="8821" w:y="3748"/>
        <w:widowControl w:val="0"/>
        <w:shd w:val="clear" w:color="auto" w:fill="auto"/>
        <w:tabs>
          <w:tab w:leader="underscore" w:pos="256" w:val="left"/>
          <w:tab w:pos="1055" w:val="left"/>
        </w:tabs>
        <w:bidi w:val="0"/>
        <w:spacing w:before="0" w:after="200" w:line="221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ab/>
        <w:t xml:space="preserve"> /</w:t>
        <w:tab/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3"/>
          <w:szCs w:val="13"/>
          <w:u w:val="single"/>
          <w:shd w:val="clear" w:color="auto" w:fill="auto"/>
          <w:lang w:val="en-US" w:eastAsia="en-US" w:bidi="en-US"/>
        </w:rPr>
        <w:t xml:space="preserve">/Z/^/ZzP^C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 xml:space="preserve">Jr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>л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’</w:t>
      </w:r>
    </w:p>
    <w:p>
      <w:pPr>
        <w:pStyle w:val="Style8"/>
        <w:keepNext w:val="0"/>
        <w:keepLines w:val="0"/>
        <w:framePr w:w="2509" w:h="727" w:wrap="none" w:vAnchor="text" w:hAnchor="page" w:x="8821" w:y="37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9"/>
          <w:szCs w:val="9"/>
        </w:rPr>
      </w:pPr>
      <w:r>
        <w:rPr>
          <w:b w:val="0"/>
          <w:bCs w:val="0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>J</w:t>
      </w:r>
    </w:p>
    <w:p>
      <w:pPr>
        <w:pStyle w:val="Style5"/>
        <w:keepNext w:val="0"/>
        <w:keepLines w:val="0"/>
        <w:framePr w:w="8676" w:h="1310" w:wrap="none" w:vAnchor="text" w:hAnchor="page" w:x="1704" w:y="378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СОГЛАШЕНЦ</w:t>
      </w:r>
    </w:p>
    <w:p>
      <w:pPr>
        <w:pStyle w:val="Style5"/>
        <w:keepNext w:val="0"/>
        <w:keepLines w:val="0"/>
        <w:framePr w:w="8676" w:h="1310" w:wrap="none" w:vAnchor="text" w:hAnchor="page" w:x="1704" w:y="378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</w:t>
      </w:r>
    </w:p>
    <w:p>
      <w:pPr>
        <w:pStyle w:val="Style5"/>
        <w:keepNext w:val="0"/>
        <w:keepLines w:val="0"/>
        <w:framePr w:w="8676" w:h="1310" w:wrap="none" w:vAnchor="text" w:hAnchor="page" w:x="1704" w:y="378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</w:r>
    </w:p>
    <w:p>
      <w:pPr>
        <w:widowControl w:val="0"/>
        <w:spacing w:line="360" w:lineRule="exact"/>
      </w:pPr>
      <w:r>
        <w:drawing>
          <wp:anchor distT="0" distB="13970" distL="0" distR="980440" simplePos="0" relativeHeight="62914692" behindDoc="1" locked="0" layoutInCell="1" allowOverlap="1">
            <wp:simplePos x="0" y="0"/>
            <wp:positionH relativeFrom="page">
              <wp:posOffset>788670</wp:posOffset>
            </wp:positionH>
            <wp:positionV relativeFrom="paragraph">
              <wp:posOffset>448310</wp:posOffset>
            </wp:positionV>
            <wp:extent cx="1456690" cy="154241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456690" cy="1542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081405" simplePos="0" relativeHeight="62914693" behindDoc="1" locked="0" layoutInCell="1" allowOverlap="1">
            <wp:simplePos x="0" y="0"/>
            <wp:positionH relativeFrom="page">
              <wp:posOffset>4357370</wp:posOffset>
            </wp:positionH>
            <wp:positionV relativeFrom="paragraph">
              <wp:posOffset>967105</wp:posOffset>
            </wp:positionV>
            <wp:extent cx="1188720" cy="6400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188720" cy="640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0165" distL="0" distR="1481455" simplePos="0" relativeHeight="62914694" behindDoc="1" locked="0" layoutInCell="1" allowOverlap="1">
            <wp:simplePos x="0" y="0"/>
            <wp:positionH relativeFrom="page">
              <wp:posOffset>5054600</wp:posOffset>
            </wp:positionH>
            <wp:positionV relativeFrom="paragraph">
              <wp:posOffset>2370455</wp:posOffset>
            </wp:positionV>
            <wp:extent cx="658495" cy="4203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58495" cy="420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72" w:left="1242" w:right="570" w:bottom="1322" w:header="0" w:footer="894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7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Мансийского автономного округа - Югры «Белоярский комплексный центр</w:t>
        <w:br/>
        <w:t>социального обслуживания населения» на 2024-2026 годы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30 апреля 2025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работников Шаровой Виктории Викторовны, договорились о внесении изменений в коллективный договор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 Мансийского автономного округа - Югры «Белоярский комплексный центр социального обслуживания населения» на 2024-2026 годы (далее - коллективный договор):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5.19 коллективного договора после слов «отцу, воспитывающему ребенка в возрасте до четырнадцати лет без матери» дополнить словами «работнику, осуществляющему уход за членом семьи или иным родственником, являющимися инвалидами I группы».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 слов «в удобное для них время;» дополнить абзац следующего содержания: «С учетом рекомендаций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обязанностями, предоставлять работникам, при поступлении ребенка в 1 класс, на основании письменного заявления дополнительный выходной день без сохранения заработной платы 1 сентября».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7" w:val="left"/>
        </w:tabs>
        <w:bidi w:val="0"/>
        <w:spacing w:before="0" w:after="160"/>
        <w:ind w:left="0" w:right="0" w:firstLine="7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5" w:left="1415" w:right="1039" w:bottom="132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7.1. коллективного договора слова «постановления Думы Ханты- Мансийского автономного округа - Югры четвертого созыва от 1 марта 2010 года № 4676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«Об утверждении официального толкования отдельных норм Закона Ханты-Мансийского автономного округа - Югры 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Югры» (далее - постановление Думы Ханты-Мансийского автономного округа - Югры четвертого созыва от 1 марта 2010 года № 4676)», заменить словами «постановления Думы автономного округа - Югры от 29 ноября 2023 года № 951 «Об утверждении официального толкования отдельных норм Закона Ханты-Мансийского автономного округа - Югры 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 (далее - постановление Думы автономного округа - Югры от 29 ноября 2023 года № 951».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4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7.6.1. коллективного договора слова «автомобильным транспортом - в автомобильном транспорте общего пользования (кроме такси), при его отсутствии - в автобусах с мягкими откидными сиденьями» заменить словами «автомобильным транспортом - в автомобильном транспорте общего пользования (кроме такси) по маршрутам регулярных перевозок».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4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7.8. коллективного договора изложить в новой редакции: «В случае, если работник проводит отпуск в нескольких местах, компенсируется стоимость проезда только к одному из этих мест (по выбору работника), а также стоимость обратного проезда от того же места к месту жительства по фактическим расходам (при условии проезда по кратчайшему маршруту) или не более фактически произведенных расходов на основании справки о стоимости проезда на дату осуществления проезда, выданной организацией, осуществляющей продажу проездных и перевозочных документов (билетов), о стоимости проезда от места жительства к месту проведения отпуска (по выбору работника) и обратно кратчайшим маршрутом.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 кратчайшим маршрутом в настоящем толковании признается наименьшее расстояние от места жительства работника до места использования отпуска, включая промежуточные пункты следования, находящиеся последовательно в направлении от места жительства работника к месту использования отпуска и обратно по существующей транспортной схеме».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4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7.9. коллективного договора дополнить абзацем следующего содержания: «Условие о проезде по кратчайшему маршруту не применяется, если промежуточными пунктами следования от места жительства работника к месту использования отпуска и обратно являются: в западном направлении - г. Екатеринбург, или г. Москва, или г. Тюмень, в восточном направлении - г. Екатеринбург, или г. Москва, или г. Новосибирск; населенные пункты Ханты-Мансийского автономного округа - Югры, в которых расположены железнодорожная станция, пристань, аэропорт, автовокзал. Об отсутствии прямого маршрута на дату осуществления проезда от места жительства к месту использования отпуска и обратно работник представляет справку, выданную организацией, осуществляющей продажу проездных и перевозочных документов (билетов)».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after="0" w:line="30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Пункт 7.12 коллективного договора после 2 абзаца дополнить абзацем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следующего содержания: «Компенсация стоимости провоза багажа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осуществляется в порядке, определенном абзацем первым настоящего пункта в отношении возмещения стоимости воздушной перевозки».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Слова «постановление Думы Ханты-Мансийского автономного округа - Югры четвертого созыва от 1 марта 2010 года № 4676» заменить словами «постановление Думы автономного округа - Югры от 29 ноября 2023 года № 951»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7.13 коллективного договора слова «постановление Думы Ханты- Мансийского автономного округа - Югры четвертого созыва от 1 марта 2010 года № 4676» заменить словами «постановление Думы автономного округа - Югры от 29 ноября 2023 года№ 951».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Последний абзац изложить в новой редакции: «В случае, если выплата средств для предварительной компенсации расходов на оплату стоимости проезда и провоза багажа к месту использования отпуска и обратно не требуется, письменное заявление для компенсации указанных расходов представляется работником не позднее 20 декабря года, в котором осуществлен проезд.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работник представил авансовый отчет о произведенных расходах после 20 декабря текущего календарного года или в следующем календарном году, годом использования права на оплату стоимости проезда и провоза багажа к месту использования отпуска и обратно считается год, в котором работник вернулся к месту жительства, независимо от даты представления указанного авансового отчета».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7.16 коллективного договора изложить в новой редакции: «В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топлива, указанными в инструкции по эксплуатации транспортного средства, либо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средств, либо в соответствии с утверждаемыми Министерством транспорта Российской Федерации нормами расхода топлива марки транспортного средства, сходной с маркой транспортного средства работника или членов его семьи по следующим параметрам: модель, марка транспортного средства работника или членов его семьи должны совпадать с моделью, маркой транспортного средства, указанного в правовых актах Министерства транспорта Российской Федерации, а объем и мощность двигателя транспортного средства работника или членов его семьи должны быть равными или больше объема и мощности двигателя транспортного средства, указанного в правовых актах Министерства транспорта Российской Федерации, с которым совпадают модель, марка транспортного средства работника».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7.22.1 подпункте 7 коллективного договора слова «абзацем четвертым подпункта 1 пункта 7 раздела I «Официального толкования пункта 1 статьи 4» постановления Думы Ханты-Мансийского автономного округа - Югры от 1 марта 2010 года № 4676» заменить словами «абзацем четвертым подпункта 1 пункта 8 раздела I «Официального толкования пункта III статьи 4» постановления Думы Ханты- Мансийского автономного округа - Югры от 29 ноября 2023 года № 951».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пункте 7.24, 7.25 коллективного договора слова «постановление Думы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Ханты-Мансийского автономного округа - Югры четвертого созыва от 1 марта 2010 года № 4676» заменить словами «постановление Думы автономного округа - Югры от 29 ноября 2023 года № 951».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7.29 коллективного договора после слов «государственные учреждения могут выплачивать безотчетные суммы в целях возмещения дополнительных расходов, связанных с такими командировками» дополнить абзацами «При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Размеры возмещения суточных при направлении руководителей и работников государственных учреждений в служебные командировки за пределы территории Российской Федерации устанавливаются в размерах, равных утвержденным Постановлением Правительства Российской Федерации от 26 декабря 2005 года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организаций, финансируемых за счет средств федерального бюджета» размерам суточных в иностранной валюте, выплачиваемых работникам организаций, финансируемых за счет средств федерального бюджета, при служебных командировках на территории иностранных государств».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7.31. коллективного договора после слов «в данном календарном году.» дополнить словами «График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1 коллективного договора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(далее - Положение об оплате труда работников) таблицу п. 2.1.2 изложить в новой редакции:</w:t>
      </w:r>
    </w:p>
    <w:tbl>
      <w:tblPr>
        <w:tblOverlap w:val="never"/>
        <w:jc w:val="center"/>
        <w:tblLayout w:type="fixed"/>
      </w:tblPr>
      <w:tblGrid>
        <w:gridCol w:w="709"/>
        <w:gridCol w:w="3413"/>
        <w:gridCol w:w="3463"/>
        <w:gridCol w:w="176"/>
        <w:gridCol w:w="1328"/>
      </w:tblGrid>
      <w:tr>
        <w:trPr>
          <w:trHeight w:val="1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руб.</w:t>
            </w:r>
          </w:p>
        </w:tc>
      </w:tr>
      <w:tr>
        <w:trPr>
          <w:trHeight w:val="64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работников, занятых в сфере здравоохранения и предоставления социальных услуг:</w:t>
            </w:r>
          </w:p>
        </w:tc>
      </w:tr>
      <w:tr>
        <w:trPr>
          <w:trHeight w:val="9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социальной работе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18928,00</w:t>
            </w:r>
          </w:p>
        </w:tc>
      </w:tr>
      <w:tr>
        <w:trPr>
          <w:trHeight w:val="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отделением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21 840,00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14. В приложении 1 «Положение об оплате труда работников» таблицу п. 2.1.3 изложить в новой редакции:</w:t>
      </w:r>
    </w:p>
    <w:tbl>
      <w:tblPr>
        <w:tblOverlap w:val="never"/>
        <w:jc w:val="center"/>
        <w:tblLayout w:type="fixed"/>
      </w:tblPr>
      <w:tblGrid>
        <w:gridCol w:w="706"/>
        <w:gridCol w:w="3409"/>
        <w:gridCol w:w="3683"/>
        <w:gridCol w:w="1282"/>
      </w:tblGrid>
      <w:tr>
        <w:trPr>
          <w:trHeight w:val="6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709"/>
        <w:gridCol w:w="3420"/>
        <w:gridCol w:w="3676"/>
        <w:gridCol w:w="1292"/>
      </w:tblGrid>
      <w:tr>
        <w:trPr>
          <w:trHeight w:val="68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 оклада, руб-</w:t>
            </w:r>
          </w:p>
        </w:tc>
      </w:tr>
      <w:tr>
        <w:trPr>
          <w:trHeight w:val="64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медицинских и фармацевтических работников:</w:t>
            </w:r>
          </w:p>
        </w:tc>
      </w:tr>
      <w:tr>
        <w:trPr>
          <w:trHeight w:val="6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>
          <w:trHeight w:val="8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лечебной физкультуре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19 240,00</w:t>
            </w:r>
          </w:p>
        </w:tc>
      </w:tr>
      <w:tr>
        <w:trPr>
          <w:trHeight w:val="9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 сестра, медицинская сестра палатная (постовая), медицинская сестра по массажу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20 280,00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старшая медицинская сестра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21 320,00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квалис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зикационная группа «Врачи и провизоры»</w:t>
            </w:r>
          </w:p>
        </w:tc>
      </w:tr>
      <w:tr>
        <w:trPr>
          <w:trHeight w:val="6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врач-специалист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29 640,00</w:t>
            </w:r>
          </w:p>
        </w:tc>
      </w:tr>
    </w:tbl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1 коллективного договора «Положение об оплате труда работников» в п. 2.1.71 слова «сиделка» исключить.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1 коллективного договора «Положение об оплате труда работников» п. 3.12 после слов «Сверхурочная работа оплачивается» дополнить словами «исходя из размера заработной платы, установленного в соответствии с действующей системой оплаты труда, включая компенсационные и стимулирующие выплаты,».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1 коллективного договора «Положение об оплате труда работников» п. 6.12 изложить в новой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«6.12. Выплаты денежных средств работникам учреждения, полученные от приносящей доход деятельности, следующие: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стимулирующие выплаты (за интенсивность работы, за качество выполняемых работ; выплаты по итогам работы за год) при наличии обоснованной экономии, в соответствии с действующим коллективным договором;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128" w:val="left"/>
          <w:tab w:pos="36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выплата до одного месячного фонда оплаты труда работающим юбилярам, которым исполнятся 50,</w:t>
        <w:tab/>
        <w:t>55,</w:t>
        <w:tab/>
        <w:t>60 и 65 лет, проработавшим в учреждениях,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подведомственных Депсоцразвития Югры, не менее 10 лет, при наличии обоснованной экономии фонда оплаты труда. Разрешается выплата за счет обоснованной экономии бюджетных средств по фонду оплаты труда (основание: Отраслевое соглашение между Департаментом социального развития Ханты-Мансийского автономного округа - Югры и Объединенной профсоюзной организацией работников социальной защиты Ханты- Мансийского автономного округа - Югры по обеспечению социально-трудовых гарантий работникам отрасли на 2023 - 2025 годы).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Месячный фонд оплаты труда по основной занимаемой должности для определения размера выплаты работающим юбилярам, которым исполняется 50, 55, 60 и 65 лет формируется (состоит) из: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должностного оклада;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работникам, занятым на работах с вредными и (или) опасными условиями труда;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за работу в местностях с особыми климатическими условиями: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районного коэффициента к заработной плате;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процентной надбавки к заработной плате за стаж работы в районах Крайнего Севера и приравненных к ним местностях;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персонального коэффициента;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водителям за классность;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ученую степень;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почетное звание;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работу в группах для детей, инфицированных туберкулезом.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работнику материальной помощи в случае смерти близких родственников (родители, муж, жена, дети) в размере 10 000 рублей;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материальной помощи одному из близких родственников работника (муж, жена, родители, дети) в случае смерти работника в размере 10 000 рублей;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в размере 3 000 рублей, работникам, проработавшим в течение календарного года без листков нетрудоспособности при наличии обоснованной экономии фонда оплаты труда, в соответствии с действующим коллективным договором;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9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оплата проезда на похороны близких родственников (родители, муж, жена, дети).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76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руководителю и секретарю выборного Представительного органа учреждения, не освобожденных от основной работы.».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6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3, 4, 5 к приложению 1 коллективного договора «Положение об оплате труда работников» слова «санитарка», «сиделка» заменить словами «помощник по уходу».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6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приложение 2 к коллективному договору «Положение об образовании и использовании средств, полученных от приносящей доход деятельности бюджетного учреждения Ханты-Мансийского автономного округа - Югры «Белоярский комплексный центр социального обслуживания населения» п. 3.1. раздела 3. Основные направления расходования средств, полученных от приносящих доход деятельности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«3.1. Денежные средства, полученные от приносящей доход деятельности, в зависимости от источника их формирования, расходуются по следующим направлениям: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средства от оказания платных услуг, после расчета по налогам в соответствии с действующим законодательством, на основании нормативно-правовых документов учреждения направляются на текущие расходы и расходы капитального характера учреждения согласно утвержденной смете доходов и расходов согласно статьям экономической классификации расходов: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оплата труда и начисления на выплаты по оплате труда статья 210, в том числе по подстатьям: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9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«Заработная плата»: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денежных средств работникам учреждения, полученные от приносящей доход деятельности, следующие: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стимулирующие выплаты (за интенсивность и высокие результаты работы, за качество выполняемых работ, премиальные выплаты по итогам работы за календарный год) при наличии обоснованной экономии, в соответствии с действующим коллективным договором;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работнику материальной помощи в случае смерти близких родственников (родители, муж, жена, дети) в размере 10 000 рублей;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материальной помощи одному из близких родственников работника (муж, жена, родители, дети) в случае смерти работника в размере 10 000 рублей;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в размере 3000 рублей, работникам, проработавшим в течение календарного года без листков нетрудоспособности при наличии обоснованной экономии фонда оплаты труда, в соответствии с действующим коллективным договором;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одного месячного фонда оплаты труда работающим юбилярам, которым исполняется 50, 55, 60 и 65 лет, проработавшим в учреждении не менее 10 лет, за счет обоснованной экономии бюджетных средств по фонду оплаты труда. Разрешается выплата за счет обоснованной экономии бюджетных средств по фонду оплаты труда (основание: Отраслевое соглашение между Департаментом социального развития Ханты- Мансийского автономного округа - Югры и Объединенной профсоюзной организацией работников социальной защиты Ханты-Мансийского автономного округа - Югры по обеспечению социально-трудовых гарантий работникам отрасли на 2023 - 2025 годы.);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руководителю и секретарю выборного Представительного органа работников учреждения, не освобожденных от основной работы.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 стимулирующих выплат устанавливается комиссией по установлению стимулирующих выплат в процентном соотношении к должностному окладу по занимаемой должности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 на основании критериев, указанных в приложении 3, в приложении 4 к Положению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населения», но не более 100 процентов.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стимулирующих выплат производится на основании приказа директора учреждения, при наличии обоснованной экономии.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устанавливается ежемесячно, персонально по каждому работнику на основании показателя оценки эффективности деятельности работника.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Материальная помощь, выплаты юбилярам производится на основании приказа директора учреждения, с учетом мнения Представительного органа работников, при наличии обоснованной экономии.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Стимулирующие выплаты директору учреждения устанавливаются приказом Департаментом государственной гражданской службы, кадровой политики и профилактики коррупции автономного округа по предложению Депсоцразвития Югры. Выплаты, предусмотренные отраслевым соглашением между Депсоцразвития Югры и Объединенной профсоюзной организацией работников социальной защиты Ханты- Мансийского автономного округа - Югры по обеспечению социально-трудовых гарантий работникам отрасли, директору учреждения производятся на основании согласованного с Управлением социальной защиты населения, опеки и попечительства по Белоярскому району ходатайства.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8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«Прочие несоциальные выплаты персоналу в денежной форме» - возмещение командировочных расходов (суточные);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8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«Начисления на выплаты по оплате труда» - страховые взносы во внебюджетные фонды в соответствии с законодательством;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8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«Прочие несоциальные выплаты персоналу в натуральной форме», в том числе оплата проезда на похороны близких родственников (родители, муж, жена, дети).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Оплата работ и услуг статья 220 - выполнение работ, оказание услуг, связанных с текущей деятельностью учреждения (услуги связи, коммунальные услуги, текущий ремонт и техническое обслуживание оборудования, помещений, обучение сотрудников, проведение санитарно-эпидемиологических экспертиз, оплата проезда на похороны близких родственников (родители, муж, жена, дети) и т.д.) в том числе по подстатьям: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0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«Услуги связи»;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2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«Транспортные услуги»;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2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«Коммунальные услуги»;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8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«Арендная плата за пользование имуществом (за исключением земельных участков и других обособленных природных объектов)»;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2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«Работы, услуги по содержанию имущества»;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4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«Прочие работы, услуги», в том числе возмещение командировочных расходов (проезд, проживание), прохождение предварительного медицинского осмотра сотрудников при заключении трудовых договоров и т.д.;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26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«Страхование»;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26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«Услуги, работы для целей капитальных вложений».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267 «Социальные компенсации персоналу в натуральной форме».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Статья 290 «Прочие расходы» - налоги в соответствии с законодательством, штрафы, государственных пошлин, судебные издержки, морального вреда и т.д.;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Статья 310 «Увеличение стоимости основных средств» - расходы капитального характера - приобретение (изготовление), модернизация основных средств.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Статья 340 «Увеличение стоимости материальных запасов» - приобретение (изготовление) материалов, сырья, готовой продукции предназначенных для использования в процессе деятельности учреждения (медикаментов, продуктов питания, горюче-смазочных материалов, строительных материалов, мягкого инвентаря, прочих оборотных запасов (материалов), прочих материальных запасов однократного применения (подарки, сувениры, грамоты и т.д.)».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3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3 коллективного договора «О порядке предоставления отпусков» изложить в новой редакции (приложение 1 к настоящему дополнительному соглашению).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3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приложении 5 коллективного договора «Перечень профессий, должностей работников бюджетного учреждения Ханты-Мансийского автономного округа - Югры «Белоярский комплексный центр социального обслуживания населения, имеющих право на бесплатное получение специальной одежды, специальной обуви и других средств индивидуальной защиты» слова «санитарка», «сиделка», «инструктор по трудовой терапии» исключить.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3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6 коллективного договора «Положение об аттестации работников бюджетного учреждения Ханты-Мансийского автономного округа - Югры «Белоярский комплексный центр социального обслуживания населения» исключить.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3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7 коллективного договора «Положение по установлению квалификационных уровней (внутридолжностных категорий) бюджетного учреждения Ханты-Мансийского автономного округа - Югры «Белоярский комплексный центр социального обслуживания населения» исключить.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  <w:sectPr>
          <w:head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922" w:left="1424" w:right="1011" w:bottom="954" w:header="494" w:footer="526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бюджетным учреждением Ханты-Мансийского автономного округа - Югры «Белоярский комплексный центр социального обслуживания населения» и распространяет свое действие на правоотношения, возникающие с 1 января 2025 года.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/>
        <w:ind w:left="49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дополнительному соглашению к коллективному договору БУ «Белоярский комплексный цент социального обслуживания населения» от 30 апреля 2025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порядке предоставления отпусков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упорядочения представления отпусков, установить следующий порядок предоставления отпусков: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Отпуска предоставлять в соответствии с графиком отпусков, утвержденным не позднее чем за две недели до наступления календарного года.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9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 общую продолжительность ежегодного и дополнительных отпусков Работникам учреждения: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директора - 55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 + 3 за ненормированный рабочий день).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 бухгалтер - 55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 + 3 за ненормированный рабочий день).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главного бухгалтера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Бухгалтер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Экономист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закупкам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Юрисконсульт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кадрам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Документовед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Инженер по автоматизированным системам управления производством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Специалист по охране труда - 52 календарных дня (28 ежегодный основной оплачиваемый отпуск + 24 ежегодный дополнительный оплачиваемый отпуск лицам,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пожарной профилактике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Кладовщик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Шеф-повар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Повар - 59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 +7 за работу с вредными условиями труда).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Кухонный рабочий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Кастелянша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Оператор стиральных машин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Водитель автомобиля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Уборщик служебных помещений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отделением - 55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 + 3 за ненормированный рабочий день).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Психолог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социальной реабилитации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работе с семьей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социальной работе семьей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Буфетчик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Администратор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- 52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2" w:val="left"/>
          <w:tab w:pos="387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Культорганизатор -</w:t>
        <w:tab/>
        <w:t>52 календарных дня (28 ежегодный основной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2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Ассистент по оказанию технической помощи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Основание: статья 115, статья 117, статья 119, статья 321 Трудового кодекса Российской Федерации.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 общую продолжительность ежегодного и дополнительного отпуска медицинским работникам:</w:t>
      </w:r>
    </w:p>
    <w:p>
      <w:pPr>
        <w:pStyle w:val="Style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2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Врач-специалист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2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отделением социально-медицинского отделения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Старшая медицинская сестра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Медицинская сестра палатная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Медицинская сестра по массажу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Инструктор по лечебной физкультуре - 52 календарных дней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Основание: статья 115, статья 117, статья 321 Трудового кодекса Российской Федерации, результаты специальной оценки условий труда.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2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 общую продолжительность ежегодного и дополнительного отпуска педагогическим работникам: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2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Методист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22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Воспитатель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2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Логопед - 52 календарных дня (28 ежегодный основной оплачиваемый отпуск + 24 ежегодный дополнительный оплачиваемый отпуск лицам, работающим в районах Крайнего Севера).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Основание: статья 115, статья 321 Трудового кодекса Российской Федерации.</w:t>
      </w:r>
    </w:p>
    <w:sectPr>
      <w:footnotePr>
        <w:pos w:val="pageBottom"/>
        <w:numFmt w:val="decimal"/>
        <w:numRestart w:val="continuous"/>
      </w:footnotePr>
      <w:pgSz w:w="11900" w:h="16840"/>
      <w:pgMar w:top="931" w:left="1428" w:right="1000" w:bottom="1032" w:header="503" w:footer="60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622935</wp:posOffset>
              </wp:positionV>
              <wp:extent cx="4126230" cy="1212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26230" cy="1212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4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От Работодателя:</w:t>
                            <w:tab/>
                            <w:t>От Работников: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799999999999997pt;margin-top:49.049999999999997pt;width:324.89999999999998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От Работодателя:</w:t>
                      <w:tab/>
                      <w:t>От Работников: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1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22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3">
    <w:name w:val="Основной текст (3)_"/>
    <w:basedOn w:val="DefaultParagraphFont"/>
    <w:link w:val="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3">
    <w:name w:val="Подпись к таблице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Другое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30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line="307" w:lineRule="auto"/>
      <w:jc w:val="center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FFFFFF"/>
      <w:spacing w:line="226" w:lineRule="auto"/>
      <w:ind w:left="186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2">
    <w:name w:val="Подпись к таблице"/>
    <w:basedOn w:val="Normal"/>
    <w:link w:val="CharStyle23"/>
    <w:pPr>
      <w:widowControl w:val="0"/>
      <w:shd w:val="clear" w:color="auto" w:fill="FFFFFF"/>
      <w:spacing w:line="305" w:lineRule="auto"/>
      <w:ind w:firstLine="7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Другое"/>
    <w:basedOn w:val="Normal"/>
    <w:link w:val="CharStyle25"/>
    <w:pPr>
      <w:widowControl w:val="0"/>
      <w:shd w:val="clear" w:color="auto" w:fill="FFFFFF"/>
      <w:spacing w:line="30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/Relationships>
</file>